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SB141 - FAMILY HEALTH SERVICES AMENDMENT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90600" cy="676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384" l="0" r="0" t="1634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(Senator Luz Escamilla)  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This bill Informs eligible individuals about child and maternal health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services offered by state agencies, like home visits.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32"/>
                <w:szCs w:val="32"/>
              </w:rPr>
            </w:pPr>
            <w:r w:rsidDel="00000000" w:rsidR="00000000" w:rsidRPr="00000000">
              <w:rPr>
                <w:rFonts w:ascii="Oswald" w:cs="Oswald" w:eastAsia="Oswald" w:hAnsi="Oswald"/>
                <w:sz w:val="32"/>
                <w:szCs w:val="32"/>
                <w:rtl w:val="0"/>
              </w:rPr>
              <w:t xml:space="preserve">Utah PTA SUPPORTS SB141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Background: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24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know that support in early childhood has a major impact on the health and well-being of a child.  We also know that as parents have a more positive interaction with their access to healthcare, parents are more likely to seek out the support they need.   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What the bill does: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bill allows eligible individuals to be informed about child and maternal health visits, offered by state agencies, like home visits.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What the bill doesn’t do: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bill does not force parents to choose only providers that they’ve been given information about.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bill does not create any new health programs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Questions to ask your legislator?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support access to more child and maternal health services?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so, do you support the Department of Family Health being responsible for sharing that information with eligible participants?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Share your 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Would this impact your family?  If so, how?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do you think more access to health care would benefit your community?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2024 Legislative Session - February 9, 2024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